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深圳自然写科技有限公司"/>
    <w:p>
      <w:pPr>
        <w:pStyle w:val="Heading1"/>
      </w:pPr>
      <w:r>
        <w:rPr>
          <w:rFonts w:hint="eastAsia"/>
        </w:rPr>
        <w:t xml:space="preserve">深圳自然写科技有限公司</w:t>
      </w:r>
    </w:p>
    <w:bookmarkStart w:id="9" w:name="公司简介"/>
    <w:p>
      <w:pPr>
        <w:pStyle w:val="Heading2"/>
      </w:pPr>
      <w:r>
        <w:rPr>
          <w:rFonts w:hint="eastAsia"/>
        </w:rPr>
        <w:t xml:space="preserve">公司简介</w:t>
      </w:r>
    </w:p>
    <w:p>
      <w:pPr>
        <w:pStyle w:val="FirstParagraph"/>
      </w:pPr>
      <w:r>
        <w:rPr>
          <w:rFonts w:hint="eastAsia"/>
        </w:rPr>
        <w:t xml:space="preserve">深圳自然写科技有限公司（品牌名：自然写，英文：Writech，官网：yink.ai）由徐佳宏博士创办于2025年8月，总部位于广东省深圳市福田区，是一家专注于自然书写数字化产品自主研发的高新技术企业。</w:t>
      </w:r>
    </w:p>
    <w:p>
      <w:pPr>
        <w:pStyle w:val="BodyText"/>
      </w:pPr>
      <w:r>
        <w:rPr>
          <w:rFonts w:hint="eastAsia"/>
        </w:rPr>
        <w:t xml:space="preserve">公司秉承教育部”数智教育”理念，以保护青少年视力健康为责任担当，致力于让学生在课堂上以最自然的书写方式完成高效的数字化互动学习。公司核心产品体系由智能点阵笔、IoT教室网关、教室互动APP、手机APP和云服务五大模块组成，覆盖从课堂书写到数据分析的完整闭环。中小学生手握中性圆珠笔在普通纸张上自然书写，即可实现书写内容的无感数字化采集，在教室智慧黑板上与师生高效互动，大大提升课堂教学效率。</w:t>
      </w:r>
    </w:p>
    <w:p>
      <w:pPr>
        <w:pStyle w:val="BodyText"/>
      </w:pPr>
      <w:r>
        <w:rPr>
          <w:rFonts w:hint="eastAsia"/>
        </w:rPr>
        <w:t xml:space="preserve">在产品矩阵方面，公司建立了以”ink”为品牌基因的硬件产品命名体系，涵盖教师笔（Mink）、学生笔（Tink）、黑板网关（Bink）、教室网关（Cink）、指向遥控器（Rink）、手写板（Hink）、算力盒（Zink）等多个品类，形成了从书写终端到边缘计算的完整硬件生态。软件层面，公司自主研发了互动课堂教学管理云平台、手写识别与AI分析引擎、教学数据分析与学情诊断系统、教学资源管理与内容分发系统等十余款软件产品，全面支持手机、PC、平板、智慧黑板、电视等多终端平台。</w:t>
      </w:r>
    </w:p>
    <w:p>
      <w:pPr>
        <w:pStyle w:val="BodyText"/>
      </w:pPr>
      <w:r>
        <w:rPr>
          <w:rFonts w:hint="eastAsia"/>
        </w:rPr>
        <w:t xml:space="preserve">在核心技术领域，公司自主训练了面向课堂互动数据的AI分析模型，具备手写文字识别、笔顺评分、数学公式识别等智能分析能力。该模型既可运行于云端，也可部署于教室算力盒上实现边缘计算，单个教室可同时处理64支学生笔的实时数据，并给出分类与统计反馈。在手写屏技术方面，公司围绕双稳态胆甾型液晶手写屏与电子大屏的异屏同写、一键擦除联动等前沿方向持续创新，形成了完整的专利技术布局。</w:t>
      </w:r>
    </w:p>
    <w:p>
      <w:pPr>
        <w:pStyle w:val="BodyText"/>
      </w:pPr>
      <w:r>
        <w:rPr>
          <w:rFonts w:hint="eastAsia"/>
        </w:rPr>
        <w:t xml:space="preserve">在知识产权方面，公司已拥有软件著作权13项、发明专利3项、实用新型专利9项，涵盖智能笔结构设计、书写识别算法、手写屏显示联动、无线通信交互等多个技术领域，构建了坚实的自主知识产权壁垒。</w:t>
      </w:r>
    </w:p>
    <w:p>
      <w:pPr>
        <w:pStyle w:val="BodyText"/>
      </w:pPr>
      <w:r>
        <w:rPr>
          <w:rFonts w:hint="eastAsia"/>
        </w:rPr>
        <w:t xml:space="preserve">公司以”让自然书写成为最高效的数字化入口”为使命，面向全国中小学校提供智慧教育解决方案，助力教育信息化高质量发展。</w:t>
      </w:r>
    </w:p>
    <w:bookmarkEnd w:id="9"/>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2026-03-26T22:32:10Z</dcterms:created>
  <dcterms:modified xsi:type="dcterms:W3CDTF">2026-03-26T22:32:10Z</dcterms:modified>
</cp:coreProperties>
</file>

<file path=docProps/custom.xml><?xml version="1.0" encoding="utf-8"?>
<Properties xmlns="http://schemas.openxmlformats.org/officeDocument/2006/custom-properties" xmlns:vt="http://schemas.openxmlformats.org/officeDocument/2006/docPropsVTypes"/>
</file>